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77904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82fad9e-4303-40e0-b615-d8bb07699b65"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f11d21d1-8bec-4df3-85d2-f4d0bca3e7ae" w:id="2"/>
      <w:r>
        <w:rPr>
          <w:rFonts w:ascii="Times New Roman" w:hAnsi="Times New Roman"/>
          <w:b/>
          <w:i w:val="false"/>
          <w:color w:val="000000"/>
          <w:sz w:val="28"/>
        </w:rPr>
        <w:t>Отдел по образованию Палласовского муниципального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"Венгеловская 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ответственная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Мулдашева С.А.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и.о.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Серикбаева А.К.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2004182)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f40cabc-1e83-4907-ad8f-f4ef8375b8cd" w:id="3"/>
      <w:r>
        <w:rPr>
          <w:rFonts w:ascii="Times New Roman" w:hAnsi="Times New Roman"/>
          <w:b/>
          <w:i w:val="false"/>
          <w:color w:val="000000"/>
          <w:sz w:val="28"/>
        </w:rPr>
        <w:t>п.Венгеловка</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2023-2024 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779049" w:id="5"/>
    <w:p>
      <w:pPr>
        <w:sectPr>
          <w:pgSz w:w="11906" w:h="16383" w:orient="portrait"/>
        </w:sectPr>
      </w:pPr>
    </w:p>
    <w:bookmarkEnd w:id="5"/>
    <w:bookmarkEnd w:id="0"/>
    <w:bookmarkStart w:name="block-14779050"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14779050" w:id="8"/>
    <w:p>
      <w:pPr>
        <w:sectPr>
          <w:pgSz w:w="11906" w:h="16383" w:orient="portrait"/>
        </w:sectPr>
      </w:pPr>
    </w:p>
    <w:bookmarkEnd w:id="8"/>
    <w:bookmarkEnd w:id="6"/>
    <w:bookmarkStart w:name="block-14779048"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fea8cf03-c8e1-4ed3-94a3-40e6561a8359"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fce98a40-ae0b-4d2c-875d-505cf2d5a21d"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e4e52ce4-82f6-450f-a8ef-39f9bea95300"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6de16-2d11-43d3-bead-a64a93ae8cc5"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d90ce49e-f5c7-4bfc-ba4a-92feb4e54a52"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cb0fcba1-b7c3-44d2-9bb6-c0a6c9168eca"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81524b2d-8972-479d-bbde-dc24af398f71"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32f573be-918d-43d1-9ae6-41e22d8f0125"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14779048" w:id="91"/>
    <w:p>
      <w:pPr>
        <w:sectPr>
          <w:pgSz w:w="11906" w:h="16383" w:orient="portrait"/>
        </w:sectPr>
      </w:pPr>
    </w:p>
    <w:bookmarkEnd w:id="91"/>
    <w:bookmarkEnd w:id="9"/>
    <w:bookmarkStart w:name="block-14779052"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14779052" w:id="93"/>
    <w:p>
      <w:pPr>
        <w:sectPr>
          <w:pgSz w:w="11906" w:h="16383" w:orient="portrait"/>
        </w:sectPr>
      </w:pPr>
    </w:p>
    <w:bookmarkEnd w:id="93"/>
    <w:bookmarkEnd w:id="92"/>
    <w:bookmarkStart w:name="block-14779051"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14779051" w:id="95"/>
    <w:p>
      <w:pPr>
        <w:sectPr>
          <w:pgSz w:w="16383" w:h="11906" w:orient="landscape"/>
        </w:sectPr>
      </w:pPr>
    </w:p>
    <w:bookmarkEnd w:id="95"/>
    <w:bookmarkEnd w:id="94"/>
    <w:bookmarkStart w:name="block-14779055"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 Гласные и согласные звуки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 Гласные и согласные звуки. Участие в диалоге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01" w:type="dxa"/>
            <w:tcBorders/>
            <w:tcMar>
              <w:top w:w="50" w:type="dxa"/>
              <w:left w:w="100" w:type="dxa"/>
            </w:tcMar>
            <w:vAlign w:val="center"/>
          </w:tcPr>
          <w:p>
            <w:pPr>
              <w:spacing w:before="0" w:after="0"/>
              <w:ind w:left="135"/>
              <w:jc w:val="left"/>
            </w:pPr>
          </w:p>
        </w:tc>
      </w:tr>
      <w:tr>
        <w:trPr>
          <w:trHeight w:val="32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 Функция буквы О, о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 Буквы И, и,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Проведение звукового анализа слов с буквами Н, н. Звуки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Проведение звукового анализа слов с буквами С, с. Звуки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01" w:type="dxa"/>
            <w:tcBorders/>
            <w:tcMar>
              <w:top w:w="50" w:type="dxa"/>
              <w:left w:w="100" w:type="dxa"/>
            </w:tcMar>
            <w:vAlign w:val="center"/>
          </w:tcPr>
          <w:p>
            <w:pPr>
              <w:spacing w:before="0" w:after="0"/>
              <w:ind w:left="135"/>
              <w:jc w:val="left"/>
            </w:pPr>
          </w:p>
        </w:tc>
      </w:tr>
      <w:tr>
        <w:trPr>
          <w:trHeight w:val="21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Проведение звукового анализа слов с буквами К, к. Звуки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Проведение звукового анализа слов с буквами Л, л. Согласные звуки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Проведение звукового анализа слов с буквами Р, р. Согласные звуки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Проведение звукового анализа слов с буквами В, в. Согласные звуки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Проведение звукового анализа слов с буквами Е, е. Звуки [й’э],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01" w:type="dxa"/>
            <w:tcBorders/>
            <w:tcMar>
              <w:top w:w="50" w:type="dxa"/>
              <w:left w:w="100" w:type="dxa"/>
            </w:tcMar>
            <w:vAlign w:val="center"/>
          </w:tcPr>
          <w:p>
            <w:pPr>
              <w:spacing w:before="0" w:after="0"/>
              <w:ind w:left="135"/>
              <w:jc w:val="left"/>
            </w:pPr>
          </w:p>
        </w:tc>
      </w:tr>
      <w:tr>
        <w:trPr>
          <w:trHeight w:val="23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Проведение звукового анализа слов с буквами П, п. Согласные звуки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01" w:type="dxa"/>
            <w:tcBorders/>
            <w:tcMar>
              <w:top w:w="50" w:type="dxa"/>
              <w:left w:w="100" w:type="dxa"/>
            </w:tcMar>
            <w:vAlign w:val="center"/>
          </w:tcPr>
          <w:p>
            <w:pPr>
              <w:spacing w:before="0" w:after="0"/>
              <w:ind w:left="135"/>
              <w:jc w:val="left"/>
            </w:pPr>
          </w:p>
        </w:tc>
      </w:tr>
      <w:tr>
        <w:trPr>
          <w:trHeight w:val="324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01" w:type="dxa"/>
            <w:tcBorders/>
            <w:tcMar>
              <w:top w:w="50" w:type="dxa"/>
              <w:left w:w="100" w:type="dxa"/>
            </w:tcMar>
            <w:vAlign w:val="center"/>
          </w:tcPr>
          <w:p>
            <w:pPr>
              <w:spacing w:before="0" w:after="0"/>
              <w:ind w:left="135"/>
              <w:jc w:val="left"/>
            </w:pPr>
          </w:p>
        </w:tc>
      </w:tr>
      <w:tr>
        <w:trPr>
          <w:trHeight w:val="312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Правописание сочетаний ЧА — ЧУ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01" w:type="dxa"/>
            <w:tcBorders/>
            <w:tcMar>
              <w:top w:w="50" w:type="dxa"/>
              <w:left w:w="100" w:type="dxa"/>
            </w:tcMar>
            <w:vAlign w:val="center"/>
          </w:tcPr>
          <w:p>
            <w:pPr>
              <w:spacing w:before="0" w:after="0"/>
              <w:ind w:left="135"/>
              <w:jc w:val="left"/>
            </w:pPr>
          </w:p>
        </w:tc>
      </w:tr>
      <w:tr>
        <w:trPr>
          <w:trHeight w:val="15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Проведение звукового анализа слов с буквами Ё, ё. Звуки [й’о], [’о]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01" w:type="dxa"/>
            <w:tcBorders/>
            <w:tcMar>
              <w:top w:w="50" w:type="dxa"/>
              <w:left w:w="100" w:type="dxa"/>
            </w:tcMar>
            <w:vAlign w:val="center"/>
          </w:tcPr>
          <w:p>
            <w:pPr>
              <w:spacing w:before="0" w:after="0"/>
              <w:ind w:left="135"/>
              <w:jc w:val="left"/>
            </w:pPr>
          </w:p>
        </w:tc>
      </w:tr>
      <w:tr>
        <w:trPr>
          <w:trHeight w:val="11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Л.Н. Толстой "Ехали два мужика..."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 Г. Сутеев "Ёлка"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01" w:type="dxa"/>
            <w:tcBorders/>
            <w:tcMar>
              <w:top w:w="50" w:type="dxa"/>
              <w:left w:w="100" w:type="dxa"/>
            </w:tcMar>
            <w:vAlign w:val="center"/>
          </w:tcPr>
          <w:p>
            <w:pPr>
              <w:spacing w:before="0" w:after="0"/>
              <w:ind w:left="135"/>
              <w:jc w:val="left"/>
            </w:pPr>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Проведение звукового анализа слов с буквами Щ, щ. Звук [щ’]. Сочетания ЧА — ЩА, ЧУ — ЩУ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Произведение по выбору, например, В.В. Бианки "Лесной Колобок - Колючий 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В. Д. Берестов. «Читалочка». Е. И. Чарушин. «Как мальчик Женя научился говорить букву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«Наше Отечество» К. Д. Ушинского. Повторение изученного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и анализ статьи В. Н. Крупина «Первоучители словенские». «Первый букварь» В. Н. Крупина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01" w:type="dxa"/>
            <w:tcBorders/>
            <w:tcMar>
              <w:top w:w="50" w:type="dxa"/>
              <w:left w:w="100" w:type="dxa"/>
            </w:tcMar>
            <w:vAlign w:val="center"/>
          </w:tcPr>
          <w:p>
            <w:pPr>
              <w:spacing w:before="0" w:after="0"/>
              <w:ind w:left="135"/>
              <w:jc w:val="left"/>
            </w:pPr>
          </w:p>
        </w:tc>
      </w:tr>
      <w:tr>
        <w:trPr>
          <w:trHeight w:val="312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текстов М.М. Пришвина "Предмайское утро", "Глоток молока"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текстов С.В. Михалкова "Котята"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текста Б.В. Заходера "Два и три"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В.Д. Берестова "Пёсья песня", "Прощание с другом"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Орфоэпическое чтение (при переходе к чтению целыми словами) на примере произведений про Азбуку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Орфоэпическое чтение (при переходе к чтению целыми словами) на примере сказки И.П.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01" w:type="dxa"/>
            <w:tcBorders/>
            <w:tcMar>
              <w:top w:w="50" w:type="dxa"/>
              <w:left w:w="100" w:type="dxa"/>
            </w:tcMar>
            <w:vAlign w:val="center"/>
          </w:tcPr>
          <w:p>
            <w:pPr>
              <w:spacing w:before="0" w:after="0"/>
              <w:ind w:left="135"/>
              <w:jc w:val="left"/>
            </w:pPr>
          </w:p>
        </w:tc>
      </w:tr>
      <w:tr>
        <w:trPr>
          <w:trHeight w:val="11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01" w:type="dxa"/>
            <w:tcBorders/>
            <w:tcMar>
              <w:top w:w="50" w:type="dxa"/>
              <w:left w:w="100" w:type="dxa"/>
            </w:tcMar>
            <w:vAlign w:val="center"/>
          </w:tcPr>
          <w:p>
            <w:pPr>
              <w:spacing w:before="0" w:after="0"/>
              <w:ind w:left="135"/>
              <w:jc w:val="left"/>
            </w:pPr>
          </w:p>
        </w:tc>
      </w:tr>
      <w:tr>
        <w:trPr>
          <w:trHeight w:val="22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01" w:type="dxa"/>
            <w:tcBorders/>
            <w:tcMar>
              <w:top w:w="50" w:type="dxa"/>
              <w:left w:w="100" w:type="dxa"/>
            </w:tcMar>
            <w:vAlign w:val="center"/>
          </w:tcPr>
          <w:p>
            <w:pPr>
              <w:spacing w:before="0" w:after="0"/>
              <w:ind w:left="135"/>
              <w:jc w:val="left"/>
            </w:pPr>
          </w:p>
        </w:tc>
      </w:tr>
      <w:tr>
        <w:trPr>
          <w:trHeight w:val="28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01" w:type="dxa"/>
            <w:tcBorders/>
            <w:tcMar>
              <w:top w:w="50" w:type="dxa"/>
              <w:left w:w="100" w:type="dxa"/>
            </w:tcMar>
            <w:vAlign w:val="center"/>
          </w:tcPr>
          <w:p>
            <w:pPr>
              <w:spacing w:before="0" w:after="0"/>
              <w:ind w:left="135"/>
              <w:jc w:val="left"/>
            </w:pPr>
          </w:p>
        </w:tc>
      </w:tr>
      <w:tr>
        <w:trPr>
          <w:trHeight w:val="22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01" w:type="dxa"/>
            <w:tcBorders/>
            <w:tcMar>
              <w:top w:w="50" w:type="dxa"/>
              <w:left w:w="100" w:type="dxa"/>
            </w:tcMar>
            <w:vAlign w:val="center"/>
          </w:tcPr>
          <w:p>
            <w:pPr>
              <w:spacing w:before="0" w:after="0"/>
              <w:ind w:left="135"/>
              <w:jc w:val="left"/>
            </w:pPr>
          </w:p>
        </w:tc>
      </w:tr>
      <w:tr>
        <w:trPr>
          <w:trHeight w:val="25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01" w:type="dxa"/>
            <w:tcBorders/>
            <w:tcMar>
              <w:top w:w="50" w:type="dxa"/>
              <w:left w:w="100" w:type="dxa"/>
            </w:tcMar>
            <w:vAlign w:val="center"/>
          </w:tcPr>
          <w:p>
            <w:pPr>
              <w:spacing w:before="0" w:after="0"/>
              <w:ind w:left="135"/>
              <w:jc w:val="left"/>
            </w:pPr>
          </w:p>
        </w:tc>
      </w:tr>
      <w:tr>
        <w:trPr>
          <w:trHeight w:val="29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42"/>
        <w:gridCol w:w="2960"/>
        <w:gridCol w:w="1126"/>
        <w:gridCol w:w="2113"/>
        <w:gridCol w:w="2260"/>
        <w:gridCol w:w="1739"/>
        <w:gridCol w:w="2754"/>
      </w:tblGrid>
      <w:tr>
        <w:trPr>
          <w:trHeight w:val="300" w:hRule="atLeast"/>
          <w:trHeight w:val="144" w:hRule="atLeast"/>
        </w:trPr>
        <w:tc>
          <w:tcPr>
            <w:tcW w:w="4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67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27" w:type="dxa"/>
            <w:tcBorders/>
            <w:tcMar>
              <w:top w:w="50" w:type="dxa"/>
              <w:left w:w="100" w:type="dxa"/>
            </w:tcMar>
            <w:vAlign w:val="center"/>
          </w:tcPr>
          <w:p>
            <w:pPr>
              <w:spacing w:before="0" w:after="0"/>
              <w:ind w:left="135"/>
              <w:jc w:val="left"/>
            </w:pPr>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7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27" w:type="dxa"/>
            <w:tcBorders/>
            <w:tcMar>
              <w:top w:w="50" w:type="dxa"/>
              <w:left w:w="100" w:type="dxa"/>
            </w:tcMar>
            <w:vAlign w:val="center"/>
          </w:tcPr>
          <w:p>
            <w:pPr>
              <w:spacing w:before="0" w:after="0"/>
              <w:ind w:left="135"/>
              <w:jc w:val="left"/>
            </w:pPr>
          </w:p>
        </w:tc>
      </w:tr>
      <w:tr>
        <w:trPr>
          <w:trHeight w:val="238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8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45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25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25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8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27" w:type="dxa"/>
            <w:tcBorders/>
            <w:tcMar>
              <w:top w:w="50" w:type="dxa"/>
              <w:left w:w="100" w:type="dxa"/>
            </w:tcMar>
            <w:vAlign w:val="center"/>
          </w:tcPr>
          <w:p>
            <w:pPr>
              <w:spacing w:before="0" w:after="0"/>
              <w:ind w:left="135"/>
              <w:jc w:val="left"/>
            </w:pPr>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27" w:type="dxa"/>
            <w:tcBorders/>
            <w:tcMar>
              <w:top w:w="50" w:type="dxa"/>
              <w:left w:w="100" w:type="dxa"/>
            </w:tcMar>
            <w:vAlign w:val="center"/>
          </w:tcPr>
          <w:p>
            <w:pPr>
              <w:spacing w:before="0" w:after="0"/>
              <w:ind w:left="135"/>
              <w:jc w:val="left"/>
            </w:pPr>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27" w:type="dxa"/>
            <w:tcBorders/>
            <w:tcMar>
              <w:top w:w="50" w:type="dxa"/>
              <w:left w:w="100" w:type="dxa"/>
            </w:tcMar>
            <w:vAlign w:val="center"/>
          </w:tcPr>
          <w:p>
            <w:pPr>
              <w:spacing w:before="0" w:after="0"/>
              <w:ind w:left="135"/>
              <w:jc w:val="left"/>
            </w:pPr>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27" w:type="dxa"/>
            <w:tcBorders/>
            <w:tcMar>
              <w:top w:w="50" w:type="dxa"/>
              <w:left w:w="100" w:type="dxa"/>
            </w:tcMar>
            <w:vAlign w:val="center"/>
          </w:tcPr>
          <w:p>
            <w:pPr>
              <w:spacing w:before="0" w:after="0"/>
              <w:ind w:left="135"/>
              <w:jc w:val="left"/>
            </w:pPr>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27" w:type="dxa"/>
            <w:tcBorders/>
            <w:tcMar>
              <w:top w:w="50" w:type="dxa"/>
              <w:left w:w="100" w:type="dxa"/>
            </w:tcMar>
            <w:vAlign w:val="center"/>
          </w:tcPr>
          <w:p>
            <w:pPr>
              <w:spacing w:before="0" w:after="0"/>
              <w:ind w:left="135"/>
              <w:jc w:val="left"/>
            </w:pPr>
          </w:p>
        </w:tc>
      </w:tr>
      <w:tr>
        <w:trPr>
          <w:trHeight w:val="16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205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27" w:type="dxa"/>
            <w:tcBorders/>
            <w:tcMar>
              <w:top w:w="50" w:type="dxa"/>
              <w:left w:w="100" w:type="dxa"/>
            </w:tcMar>
            <w:vAlign w:val="center"/>
          </w:tcPr>
          <w:p>
            <w:pPr>
              <w:spacing w:before="0" w:after="0"/>
              <w:ind w:left="135"/>
              <w:jc w:val="left"/>
            </w:pPr>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8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2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5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27" w:type="dxa"/>
            <w:tcBorders/>
            <w:tcMar>
              <w:top w:w="50" w:type="dxa"/>
              <w:left w:w="100" w:type="dxa"/>
            </w:tcMar>
            <w:vAlign w:val="center"/>
          </w:tcPr>
          <w:p>
            <w:pPr>
              <w:spacing w:before="0" w:after="0"/>
              <w:ind w:left="135"/>
              <w:jc w:val="left"/>
            </w:pPr>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7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27" w:type="dxa"/>
            <w:tcBorders/>
            <w:tcMar>
              <w:top w:w="50" w:type="dxa"/>
              <w:left w:w="100" w:type="dxa"/>
            </w:tcMar>
            <w:vAlign w:val="center"/>
          </w:tcPr>
          <w:p>
            <w:pPr>
              <w:spacing w:before="0" w:after="0"/>
              <w:ind w:left="135"/>
              <w:jc w:val="left"/>
            </w:pPr>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27" w:type="dxa"/>
            <w:tcBorders/>
            <w:tcMar>
              <w:top w:w="50" w:type="dxa"/>
              <w:left w:w="100" w:type="dxa"/>
            </w:tcMar>
            <w:vAlign w:val="center"/>
          </w:tcPr>
          <w:p>
            <w:pPr>
              <w:spacing w:before="0" w:after="0"/>
              <w:ind w:left="135"/>
              <w:jc w:val="left"/>
            </w:pPr>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27" w:type="dxa"/>
            <w:tcBorders/>
            <w:tcMar>
              <w:top w:w="50" w:type="dxa"/>
              <w:left w:w="100" w:type="dxa"/>
            </w:tcMar>
            <w:vAlign w:val="center"/>
          </w:tcPr>
          <w:p>
            <w:pPr>
              <w:spacing w:before="0" w:after="0"/>
              <w:ind w:left="135"/>
              <w:jc w:val="left"/>
            </w:pPr>
          </w:p>
        </w:tc>
      </w:tr>
      <w:tr>
        <w:trPr>
          <w:trHeight w:val="18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27" w:type="dxa"/>
            <w:tcBorders/>
            <w:tcMar>
              <w:top w:w="50" w:type="dxa"/>
              <w:left w:w="100" w:type="dxa"/>
            </w:tcMar>
            <w:vAlign w:val="center"/>
          </w:tcPr>
          <w:p>
            <w:pPr>
              <w:spacing w:before="0" w:after="0"/>
              <w:ind w:left="135"/>
              <w:jc w:val="left"/>
            </w:pPr>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2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306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8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8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1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6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779055" w:id="97"/>
    <w:p>
      <w:pPr>
        <w:sectPr>
          <w:pgSz w:w="16383" w:h="11906" w:orient="landscape"/>
        </w:sectPr>
      </w:pPr>
    </w:p>
    <w:bookmarkEnd w:id="97"/>
    <w:bookmarkEnd w:id="96"/>
    <w:bookmarkStart w:name="block-14779053"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3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5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8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31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8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11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779053" w:id="99"/>
    <w:p>
      <w:pPr>
        <w:sectPr>
          <w:pgSz w:w="16383" w:h="11906" w:orient="landscape"/>
        </w:sectPr>
      </w:pPr>
    </w:p>
    <w:bookmarkEnd w:id="99"/>
    <w:bookmarkEnd w:id="98"/>
    <w:bookmarkStart w:name="block-14779054"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779054"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